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9в-1</w:t>
      </w:r>
    </w:p>
    <w:p w:rsidR="00D44DC5" w:rsidRDefault="00D44DC5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1711F7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10781">
        <w:rPr>
          <w:rFonts w:ascii="Times New Roman" w:eastAsia="Calibri" w:hAnsi="Times New Roman" w:cs="Times New Roman"/>
          <w:sz w:val="24"/>
          <w:szCs w:val="24"/>
        </w:rPr>
        <w:t>3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11F7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10781">
        <w:rPr>
          <w:rFonts w:ascii="Times New Roman" w:eastAsia="Calibri" w:hAnsi="Times New Roman" w:cs="Times New Roman"/>
          <w:sz w:val="24"/>
          <w:szCs w:val="24"/>
        </w:rPr>
        <w:t>3</w:t>
      </w:r>
      <w:r w:rsidRPr="00C964B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64BD">
        <w:rPr>
          <w:rFonts w:ascii="Times New Roman" w:eastAsia="Calibri" w:hAnsi="Times New Roman" w:cs="Times New Roman"/>
          <w:sz w:val="24"/>
          <w:szCs w:val="24"/>
        </w:rPr>
        <w:t>-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C964BD" w:rsidRPr="00C964BD" w:rsidRDefault="00D44DC5" w:rsidP="00D4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456"/>
        <w:tblW w:w="150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536"/>
        <w:gridCol w:w="2259"/>
        <w:gridCol w:w="1843"/>
        <w:gridCol w:w="1842"/>
        <w:gridCol w:w="1843"/>
        <w:gridCol w:w="1276"/>
        <w:gridCol w:w="1285"/>
        <w:gridCol w:w="1336"/>
        <w:gridCol w:w="1206"/>
      </w:tblGrid>
      <w:tr w:rsidR="00D44DC5" w:rsidTr="00D44DC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аэродрома 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типам принимаемых судов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пассажирских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перевозок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чел.)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грузовых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(т)  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Нормативы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пропускной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способности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аэропорта  </w:t>
            </w:r>
          </w:p>
          <w:p w:rsidR="00D44DC5" w:rsidRDefault="00405997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 w:rsidR="00D44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D44DC5"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чел./год,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т/год, кол.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взл.-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пос. опер./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час)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7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и модификация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интенсивности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1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B7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с/в  в сутки с 01 мая по 30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205F70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┐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Пропускная способность  │       Пропускная способность       │     Технические возможности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аэродрома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аэровокзального комплекса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топливозаправочных  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                    │     комплексов аэропорта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┬─────┬──────┬─────┼───────┬──────┬────┬──────┬────┬────┼────┬───┬───┬───┬──────┬──────┬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   │ РД  │пас-  │гру- │   П   │  К   │ S  │  С   │Г   │S   │V   │ Q │ N │G  │N     │N     │V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│(сис- │(час)│сажир-│зовой│    р  │   з  │  m │   пр │ сут│ общ│ раб│(т)│(т)│(т)│ дс   │ mз   │ сут│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│тема  │     │ский  │пер- │(пасс./│(пас./│(м2)│(груз.│(т) │(м2)│(т) │   │   │   │(кол. │(кол. │(т)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│ВПП)  │     │пер-  │рон  │ час)  │ м2)  │    │ ед./ │    │    │    │   │   │   │запр./│запр./│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│(взл.-│     │рон   │(МС/ │       │      │    │сутк) │    │    │    │   │   │   │час)  │час)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│(МС/  │ час)│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│час,  │     │час)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│взл.-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2   │  3  │  4   │  5  │   6   │  7   │ 8  │  9   │ 10 │ 11 │ 12 │13 │14 │15 │  16  │  17  │ 18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8E4723">
        <w:rPr>
          <w:rFonts w:ascii="Courier New" w:hAnsi="Courier New" w:cs="Courier New"/>
          <w:sz w:val="20"/>
          <w:szCs w:val="20"/>
        </w:rPr>
        <w:t xml:space="preserve"> │1/</w:t>
      </w:r>
      <w:r w:rsidR="00810781">
        <w:rPr>
          <w:rFonts w:ascii="Courier New" w:hAnsi="Courier New" w:cs="Courier New"/>
          <w:sz w:val="20"/>
          <w:szCs w:val="20"/>
        </w:rPr>
        <w:t>2972</w:t>
      </w:r>
      <w:r w:rsidR="008E4723">
        <w:rPr>
          <w:rFonts w:ascii="Courier New" w:hAnsi="Courier New" w:cs="Courier New"/>
          <w:sz w:val="20"/>
          <w:szCs w:val="20"/>
        </w:rPr>
        <w:t xml:space="preserve">│  2 </w:t>
      </w:r>
      <w:r>
        <w:rPr>
          <w:rFonts w:ascii="Courier New" w:hAnsi="Courier New" w:cs="Courier New"/>
          <w:sz w:val="20"/>
          <w:szCs w:val="20"/>
        </w:rPr>
        <w:t xml:space="preserve"> │  </w:t>
      </w:r>
      <w:r w:rsidR="008E472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│  </w:t>
      </w:r>
      <w:r w:rsidR="008E472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  </w:t>
      </w:r>
      <w:r w:rsidR="008E4723">
        <w:rPr>
          <w:rFonts w:ascii="Courier New" w:hAnsi="Courier New" w:cs="Courier New"/>
          <w:sz w:val="20"/>
          <w:szCs w:val="20"/>
        </w:rPr>
        <w:t xml:space="preserve">130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2B140A">
        <w:rPr>
          <w:rFonts w:ascii="Courier New" w:hAnsi="Courier New" w:cs="Courier New"/>
          <w:sz w:val="20"/>
          <w:szCs w:val="20"/>
        </w:rPr>
        <w:t xml:space="preserve"> 0,39 </w:t>
      </w:r>
      <w:r>
        <w:rPr>
          <w:rFonts w:ascii="Courier New" w:hAnsi="Courier New" w:cs="Courier New"/>
          <w:sz w:val="20"/>
          <w:szCs w:val="20"/>
        </w:rPr>
        <w:t>│</w:t>
      </w:r>
      <w:r w:rsidR="002B140A">
        <w:rPr>
          <w:rFonts w:ascii="Courier New" w:hAnsi="Courier New" w:cs="Courier New"/>
          <w:sz w:val="20"/>
          <w:szCs w:val="20"/>
        </w:rPr>
        <w:t>333</w:t>
      </w:r>
      <w:r w:rsidR="00405997">
        <w:rPr>
          <w:rFonts w:ascii="Courier New" w:hAnsi="Courier New" w:cs="Courier New"/>
          <w:sz w:val="20"/>
          <w:szCs w:val="20"/>
        </w:rPr>
        <w:t xml:space="preserve"> │    </w:t>
      </w:r>
      <w:bookmarkStart w:id="2" w:name="_GoBack"/>
      <w:bookmarkEnd w:id="2"/>
      <w:r w:rsidR="00E367EB">
        <w:rPr>
          <w:rFonts w:ascii="Courier New" w:hAnsi="Courier New" w:cs="Courier New"/>
          <w:sz w:val="20"/>
          <w:szCs w:val="20"/>
        </w:rPr>
        <w:t xml:space="preserve">  │    │362</w:t>
      </w:r>
      <w:r>
        <w:rPr>
          <w:rFonts w:ascii="Courier New" w:hAnsi="Courier New" w:cs="Courier New"/>
          <w:sz w:val="20"/>
          <w:szCs w:val="20"/>
        </w:rPr>
        <w:t xml:space="preserve">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┴─────┴──────┴─────┴───────┴──────┴────┴──────┴────┴────┴────┴───┴───┴───┴──────┴──────┴────┘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ВПП - взлетно-посадочная полоса. РД - рулежная дорожка, МС - место стоянки,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45745" cy="26606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расчетная пропускная способность аэровокзала,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145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показатель общей загруженности терминала,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844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необходимый размер технологической зоны обслуживания,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средний грузооборот склада за сутки,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66065" cy="2660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пропускная способность грузового склада,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2766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общая площадь грузового склада,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30734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86385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07340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по заполнению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Все ячейки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ячейке графы 2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аэродрома в соответствии с установленной классификацией.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ячейке 3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типы воздушных судов, прием которых в указанном аэропорту ограничен.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ячейке графы 4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аэропорта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от 24.02.2011 N 63 (зарегистрирован Минюстом России 05.04.2011, регистрационный N 20428) (далее - Приказ Минтранса России N 63).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ячейке графы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36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(Собрание законодательства Российской Федерации, 2009, N 30, ст. 3836) (далее - Постановление Правительства Российской Федерации N 599).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ячейки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заносятся данные, рассчитанные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N 63.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&lt;*&gt; Сведения, указанные в ячейках граф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ячейках граф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, относятся только к обеспечению воздушных перевозок гражданской авиации.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806" w:rsidRDefault="00553806"/>
    <w:sectPr w:rsidR="00553806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0B3C16"/>
    <w:rsid w:val="001711F7"/>
    <w:rsid w:val="00205F70"/>
    <w:rsid w:val="00217957"/>
    <w:rsid w:val="002B140A"/>
    <w:rsid w:val="00405997"/>
    <w:rsid w:val="00553806"/>
    <w:rsid w:val="005E0730"/>
    <w:rsid w:val="00653316"/>
    <w:rsid w:val="00810781"/>
    <w:rsid w:val="008E4723"/>
    <w:rsid w:val="009F1A5F"/>
    <w:rsid w:val="00B7046A"/>
    <w:rsid w:val="00C964BD"/>
    <w:rsid w:val="00D44DC5"/>
    <w:rsid w:val="00E367EB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5E5058F9D6AD99295A41F52D8078F37492C1B1FDF8BB86139B89EF1B7BB3AE2B5356B41E6D40E21FIAk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5E5058F9D6AD99295A41F52D8078F37492C2B6F3FFB486139B89EF1B7BB3AE2B5356B41E6D40E31FI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058F9D6AD99295A41F52D8078F37492C1B1FDF8BB86139B89EF1B7BB3AE2B5356B41E6D40E716IAk0H" TargetMode="External"/><Relationship Id="rId20" Type="http://schemas.openxmlformats.org/officeDocument/2006/relationships/hyperlink" Target="consultantplus://offline/ref=5E5058F9D6AD99295A41F52D8078F37492C2B6F3FFB486139B89EF1B7BB3AE2B5356B41E6D40E31EIAk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E5058F9D6AD99295A41F52D8078F37492C1B1FDF8BB86139B89EF1B7BB3AE2B5356B41E6D40E21FIAk8H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5E5058F9D6AD99295A41F52D8078F37492C1B1FDF8BB86139B89EF1B7BB3AE2B5356B41E6D40E716IAk0H" TargetMode="External"/><Relationship Id="rId4" Type="http://schemas.openxmlformats.org/officeDocument/2006/relationships/hyperlink" Target="mailto:office@avianao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nach-pdsp</cp:lastModifiedBy>
  <cp:revision>3</cp:revision>
  <dcterms:created xsi:type="dcterms:W3CDTF">2017-04-10T08:34:00Z</dcterms:created>
  <dcterms:modified xsi:type="dcterms:W3CDTF">2017-04-10T12:20:00Z</dcterms:modified>
</cp:coreProperties>
</file>